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CB" w:rsidRPr="00AD59F4" w:rsidRDefault="005417CB" w:rsidP="005417C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D59F4">
        <w:rPr>
          <w:rFonts w:eastAsia="Calibri"/>
          <w:b/>
          <w:sz w:val="28"/>
          <w:szCs w:val="28"/>
          <w:lang w:eastAsia="en-US"/>
        </w:rPr>
        <w:t xml:space="preserve">Карта рисков </w:t>
      </w:r>
    </w:p>
    <w:p w:rsidR="005417CB" w:rsidRPr="00AD59F4" w:rsidRDefault="005417CB" w:rsidP="005417C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D59F4">
        <w:rPr>
          <w:rFonts w:eastAsia="Calibri"/>
          <w:b/>
          <w:sz w:val="28"/>
          <w:szCs w:val="28"/>
          <w:lang w:eastAsia="en-US"/>
        </w:rPr>
        <w:t>нарушения антимонопольного законодательства в ФКПОУ «ОГЭКИ» Минтруда России в 202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AD59F4">
        <w:rPr>
          <w:rFonts w:eastAsia="Calibri"/>
          <w:b/>
          <w:sz w:val="28"/>
          <w:szCs w:val="28"/>
          <w:lang w:eastAsia="en-US"/>
        </w:rPr>
        <w:t xml:space="preserve"> году</w:t>
      </w:r>
    </w:p>
    <w:p w:rsidR="005417CB" w:rsidRPr="00AD59F4" w:rsidRDefault="005417CB" w:rsidP="005417CB">
      <w:pPr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216"/>
        <w:gridCol w:w="2109"/>
        <w:gridCol w:w="1257"/>
        <w:gridCol w:w="1582"/>
        <w:gridCol w:w="1740"/>
      </w:tblGrid>
      <w:tr w:rsidR="005417CB" w:rsidRPr="00F10E01" w:rsidTr="003E4187">
        <w:tc>
          <w:tcPr>
            <w:tcW w:w="570" w:type="dxa"/>
            <w:shd w:val="clear" w:color="auto" w:fill="auto"/>
          </w:tcPr>
          <w:p w:rsidR="005417CB" w:rsidRPr="00AD59F4" w:rsidRDefault="005417CB" w:rsidP="003E4187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D59F4">
              <w:rPr>
                <w:rFonts w:eastAsia="Calibri"/>
                <w:b/>
                <w:sz w:val="22"/>
                <w:szCs w:val="22"/>
              </w:rPr>
              <w:t xml:space="preserve">N </w:t>
            </w:r>
            <w:proofErr w:type="gramStart"/>
            <w:r w:rsidRPr="00AD59F4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AD59F4">
              <w:rPr>
                <w:rFonts w:eastAsia="Calibri"/>
                <w:b/>
                <w:sz w:val="22"/>
                <w:szCs w:val="22"/>
              </w:rPr>
              <w:t xml:space="preserve">/п </w:t>
            </w:r>
          </w:p>
        </w:tc>
        <w:tc>
          <w:tcPr>
            <w:tcW w:w="2216" w:type="dxa"/>
            <w:shd w:val="clear" w:color="auto" w:fill="auto"/>
          </w:tcPr>
          <w:p w:rsidR="005417CB" w:rsidRPr="00AD59F4" w:rsidRDefault="005417CB" w:rsidP="003E4187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D59F4">
              <w:rPr>
                <w:rFonts w:eastAsia="Calibri"/>
                <w:b/>
                <w:sz w:val="22"/>
                <w:szCs w:val="22"/>
              </w:rPr>
              <w:t xml:space="preserve">Вид </w:t>
            </w:r>
            <w:proofErr w:type="spellStart"/>
            <w:r w:rsidRPr="00AD59F4">
              <w:rPr>
                <w:rFonts w:eastAsia="Calibri"/>
                <w:b/>
                <w:sz w:val="22"/>
                <w:szCs w:val="22"/>
              </w:rPr>
              <w:t>комплаенс</w:t>
            </w:r>
            <w:proofErr w:type="spellEnd"/>
            <w:r w:rsidRPr="00AD59F4">
              <w:rPr>
                <w:rFonts w:eastAsia="Calibri"/>
                <w:b/>
                <w:sz w:val="22"/>
                <w:szCs w:val="22"/>
              </w:rPr>
              <w:t xml:space="preserve">-риска </w:t>
            </w:r>
          </w:p>
        </w:tc>
        <w:tc>
          <w:tcPr>
            <w:tcW w:w="2109" w:type="dxa"/>
            <w:shd w:val="clear" w:color="auto" w:fill="auto"/>
          </w:tcPr>
          <w:p w:rsidR="005417CB" w:rsidRPr="00AD59F4" w:rsidRDefault="005417CB" w:rsidP="003E4187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D59F4">
              <w:rPr>
                <w:rFonts w:eastAsia="Calibri"/>
                <w:b/>
                <w:sz w:val="22"/>
                <w:szCs w:val="22"/>
              </w:rPr>
              <w:t xml:space="preserve">Причины и условия возникновения </w:t>
            </w:r>
          </w:p>
        </w:tc>
        <w:tc>
          <w:tcPr>
            <w:tcW w:w="1257" w:type="dxa"/>
            <w:shd w:val="clear" w:color="auto" w:fill="auto"/>
          </w:tcPr>
          <w:p w:rsidR="005417CB" w:rsidRPr="00AD59F4" w:rsidRDefault="005417CB" w:rsidP="003E4187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D59F4">
              <w:rPr>
                <w:rFonts w:eastAsia="Calibri"/>
                <w:b/>
                <w:sz w:val="22"/>
                <w:szCs w:val="22"/>
              </w:rPr>
              <w:t xml:space="preserve">Уровень риска </w:t>
            </w:r>
          </w:p>
        </w:tc>
        <w:tc>
          <w:tcPr>
            <w:tcW w:w="1582" w:type="dxa"/>
            <w:shd w:val="clear" w:color="auto" w:fill="auto"/>
          </w:tcPr>
          <w:p w:rsidR="005417CB" w:rsidRPr="00AD59F4" w:rsidRDefault="005417CB" w:rsidP="003E4187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D59F4">
              <w:rPr>
                <w:rFonts w:eastAsia="Calibri"/>
                <w:b/>
                <w:sz w:val="22"/>
                <w:szCs w:val="22"/>
              </w:rPr>
              <w:t xml:space="preserve">Наличие (отсутствие) остаточных рисков </w:t>
            </w:r>
          </w:p>
        </w:tc>
        <w:tc>
          <w:tcPr>
            <w:tcW w:w="1740" w:type="dxa"/>
            <w:shd w:val="clear" w:color="auto" w:fill="auto"/>
          </w:tcPr>
          <w:p w:rsidR="005417CB" w:rsidRPr="00AD59F4" w:rsidRDefault="005417CB" w:rsidP="003E4187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D59F4">
              <w:rPr>
                <w:rFonts w:eastAsia="Calibri"/>
                <w:b/>
                <w:sz w:val="22"/>
                <w:szCs w:val="22"/>
              </w:rPr>
              <w:t xml:space="preserve">Вероятность повторного возникновения рисков </w:t>
            </w:r>
          </w:p>
        </w:tc>
      </w:tr>
      <w:tr w:rsidR="005417CB" w:rsidRPr="00F10E01" w:rsidTr="003E4187">
        <w:tc>
          <w:tcPr>
            <w:tcW w:w="570" w:type="dxa"/>
            <w:shd w:val="clear" w:color="auto" w:fill="auto"/>
          </w:tcPr>
          <w:p w:rsidR="005417CB" w:rsidRPr="00F10E01" w:rsidRDefault="005417CB" w:rsidP="003E418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0E0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16" w:type="dxa"/>
            <w:shd w:val="clear" w:color="auto" w:fill="auto"/>
          </w:tcPr>
          <w:p w:rsidR="005417CB" w:rsidRPr="00F10E01" w:rsidRDefault="005417CB" w:rsidP="003E418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0E01">
              <w:rPr>
                <w:rFonts w:eastAsia="Calibri"/>
                <w:sz w:val="22"/>
                <w:szCs w:val="22"/>
                <w:lang w:eastAsia="en-US"/>
              </w:rPr>
              <w:t>Риск нарушения антимонопольного законодательства при проведении закупок</w:t>
            </w:r>
          </w:p>
        </w:tc>
        <w:tc>
          <w:tcPr>
            <w:tcW w:w="2109" w:type="dxa"/>
            <w:shd w:val="clear" w:color="auto" w:fill="auto"/>
          </w:tcPr>
          <w:p w:rsidR="005417CB" w:rsidRPr="00AD59F4" w:rsidRDefault="005417CB" w:rsidP="003E4187">
            <w:pPr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AD59F4">
              <w:rPr>
                <w:rFonts w:eastAsia="Calibri"/>
                <w:sz w:val="22"/>
                <w:szCs w:val="22"/>
              </w:rPr>
              <w:t>Включение в описание объекта закупки требований, влекущих за собой ограничение количества участников закупки; нарушение порядка определения и обоснования начальной (максимальной) цены государственного контракта</w:t>
            </w:r>
          </w:p>
        </w:tc>
        <w:tc>
          <w:tcPr>
            <w:tcW w:w="1257" w:type="dxa"/>
            <w:shd w:val="clear" w:color="auto" w:fill="auto"/>
          </w:tcPr>
          <w:p w:rsidR="005417CB" w:rsidRPr="00AD59F4" w:rsidRDefault="005417CB" w:rsidP="003E4187">
            <w:pPr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AD59F4">
              <w:rPr>
                <w:rFonts w:eastAsia="Calibri"/>
                <w:sz w:val="22"/>
                <w:szCs w:val="22"/>
              </w:rPr>
              <w:t>Низкий</w:t>
            </w:r>
          </w:p>
        </w:tc>
        <w:tc>
          <w:tcPr>
            <w:tcW w:w="1582" w:type="dxa"/>
            <w:shd w:val="clear" w:color="auto" w:fill="auto"/>
          </w:tcPr>
          <w:p w:rsidR="005417CB" w:rsidRPr="00AD59F4" w:rsidRDefault="005417CB" w:rsidP="003E4187">
            <w:pPr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AD59F4">
              <w:rPr>
                <w:rFonts w:eastAsia="Calibri"/>
                <w:sz w:val="22"/>
                <w:szCs w:val="22"/>
              </w:rPr>
              <w:t>Отсутствие</w:t>
            </w:r>
          </w:p>
        </w:tc>
        <w:tc>
          <w:tcPr>
            <w:tcW w:w="1740" w:type="dxa"/>
            <w:shd w:val="clear" w:color="auto" w:fill="auto"/>
          </w:tcPr>
          <w:p w:rsidR="005417CB" w:rsidRPr="00AD59F4" w:rsidRDefault="005417CB" w:rsidP="003E4187">
            <w:pPr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AD59F4">
              <w:rPr>
                <w:rFonts w:eastAsia="Calibri"/>
                <w:sz w:val="22"/>
                <w:szCs w:val="22"/>
              </w:rPr>
              <w:t>Низкая</w:t>
            </w:r>
          </w:p>
        </w:tc>
      </w:tr>
      <w:tr w:rsidR="005417CB" w:rsidRPr="00F10E01" w:rsidTr="003E4187">
        <w:tc>
          <w:tcPr>
            <w:tcW w:w="570" w:type="dxa"/>
            <w:shd w:val="clear" w:color="auto" w:fill="auto"/>
          </w:tcPr>
          <w:p w:rsidR="005417CB" w:rsidRPr="00F10E01" w:rsidRDefault="005417CB" w:rsidP="003E418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0E0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16" w:type="dxa"/>
            <w:shd w:val="clear" w:color="auto" w:fill="auto"/>
          </w:tcPr>
          <w:p w:rsidR="005417CB" w:rsidRPr="00F10E01" w:rsidRDefault="005417CB" w:rsidP="003E418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0E01">
              <w:rPr>
                <w:rFonts w:eastAsia="Calibri"/>
                <w:sz w:val="22"/>
                <w:szCs w:val="22"/>
                <w:lang w:eastAsia="en-US"/>
              </w:rPr>
              <w:t>Риск нарушения антимонопольного законодательства при разработке и принятии нормативных правовых актов</w:t>
            </w:r>
          </w:p>
        </w:tc>
        <w:tc>
          <w:tcPr>
            <w:tcW w:w="2109" w:type="dxa"/>
            <w:shd w:val="clear" w:color="auto" w:fill="auto"/>
          </w:tcPr>
          <w:p w:rsidR="005417CB" w:rsidRPr="00AD59F4" w:rsidRDefault="005417CB" w:rsidP="003E4187">
            <w:pPr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AD59F4">
              <w:rPr>
                <w:rFonts w:eastAsia="Calibri"/>
                <w:sz w:val="22"/>
                <w:szCs w:val="22"/>
              </w:rPr>
              <w:t>Подготовка, согласование и утверждение нормативных правовых актов с нарушением требований антимонопольного законодательства</w:t>
            </w:r>
          </w:p>
        </w:tc>
        <w:tc>
          <w:tcPr>
            <w:tcW w:w="1257" w:type="dxa"/>
            <w:shd w:val="clear" w:color="auto" w:fill="auto"/>
          </w:tcPr>
          <w:p w:rsidR="005417CB" w:rsidRPr="00AD59F4" w:rsidRDefault="005417CB" w:rsidP="003E4187">
            <w:pPr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AD59F4">
              <w:rPr>
                <w:rFonts w:eastAsia="Calibri"/>
                <w:sz w:val="22"/>
                <w:szCs w:val="22"/>
              </w:rPr>
              <w:t>Низкий</w:t>
            </w:r>
          </w:p>
        </w:tc>
        <w:tc>
          <w:tcPr>
            <w:tcW w:w="1582" w:type="dxa"/>
            <w:shd w:val="clear" w:color="auto" w:fill="auto"/>
          </w:tcPr>
          <w:p w:rsidR="005417CB" w:rsidRPr="00AD59F4" w:rsidRDefault="005417CB" w:rsidP="003E4187">
            <w:pPr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AD59F4">
              <w:rPr>
                <w:rFonts w:eastAsia="Calibri"/>
                <w:sz w:val="22"/>
                <w:szCs w:val="22"/>
              </w:rPr>
              <w:t>Отсутствие</w:t>
            </w:r>
          </w:p>
        </w:tc>
        <w:tc>
          <w:tcPr>
            <w:tcW w:w="1740" w:type="dxa"/>
            <w:shd w:val="clear" w:color="auto" w:fill="auto"/>
          </w:tcPr>
          <w:p w:rsidR="005417CB" w:rsidRPr="00AD59F4" w:rsidRDefault="005417CB" w:rsidP="003E4187">
            <w:pPr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AD59F4">
              <w:rPr>
                <w:rFonts w:eastAsia="Calibri"/>
                <w:sz w:val="22"/>
                <w:szCs w:val="22"/>
              </w:rPr>
              <w:t>Низкая</w:t>
            </w:r>
          </w:p>
        </w:tc>
      </w:tr>
      <w:tr w:rsidR="005417CB" w:rsidRPr="00F10E01" w:rsidTr="003E4187">
        <w:tc>
          <w:tcPr>
            <w:tcW w:w="570" w:type="dxa"/>
            <w:shd w:val="clear" w:color="auto" w:fill="auto"/>
          </w:tcPr>
          <w:p w:rsidR="005417CB" w:rsidRPr="00F10E01" w:rsidRDefault="005417CB" w:rsidP="003E418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0E0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16" w:type="dxa"/>
            <w:shd w:val="clear" w:color="auto" w:fill="auto"/>
          </w:tcPr>
          <w:p w:rsidR="005417CB" w:rsidRPr="00F10E01" w:rsidRDefault="005417CB" w:rsidP="003E418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0E01">
              <w:rPr>
                <w:rFonts w:eastAsia="Calibri"/>
                <w:sz w:val="22"/>
                <w:szCs w:val="22"/>
                <w:lang w:eastAsia="en-US"/>
              </w:rPr>
              <w:t>Риск нарушения антимонопольного законодательства при рассмотрении обращений граждан и организаций</w:t>
            </w:r>
          </w:p>
        </w:tc>
        <w:tc>
          <w:tcPr>
            <w:tcW w:w="2109" w:type="dxa"/>
            <w:shd w:val="clear" w:color="auto" w:fill="auto"/>
          </w:tcPr>
          <w:p w:rsidR="005417CB" w:rsidRPr="00AD59F4" w:rsidRDefault="005417CB" w:rsidP="003E4187">
            <w:pPr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AD59F4">
              <w:rPr>
                <w:rFonts w:eastAsia="Calibri"/>
                <w:sz w:val="22"/>
                <w:szCs w:val="22"/>
              </w:rPr>
              <w:t>Нарушение сроков ответов на обращение физических и юридических лиц; не предоставление ответов на обращения физических и юридических лиц</w:t>
            </w:r>
          </w:p>
        </w:tc>
        <w:tc>
          <w:tcPr>
            <w:tcW w:w="1257" w:type="dxa"/>
            <w:shd w:val="clear" w:color="auto" w:fill="auto"/>
          </w:tcPr>
          <w:p w:rsidR="005417CB" w:rsidRPr="00AD59F4" w:rsidRDefault="005417CB" w:rsidP="003E4187">
            <w:pPr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AD59F4">
              <w:rPr>
                <w:rFonts w:eastAsia="Calibri"/>
                <w:sz w:val="22"/>
                <w:szCs w:val="22"/>
              </w:rPr>
              <w:t>Низкий</w:t>
            </w:r>
          </w:p>
        </w:tc>
        <w:tc>
          <w:tcPr>
            <w:tcW w:w="1582" w:type="dxa"/>
            <w:shd w:val="clear" w:color="auto" w:fill="auto"/>
          </w:tcPr>
          <w:p w:rsidR="005417CB" w:rsidRPr="00AD59F4" w:rsidRDefault="005417CB" w:rsidP="003E4187">
            <w:pPr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AD59F4">
              <w:rPr>
                <w:rFonts w:eastAsia="Calibri"/>
                <w:sz w:val="22"/>
                <w:szCs w:val="22"/>
              </w:rPr>
              <w:t>Отсутствие</w:t>
            </w:r>
          </w:p>
        </w:tc>
        <w:tc>
          <w:tcPr>
            <w:tcW w:w="1740" w:type="dxa"/>
            <w:shd w:val="clear" w:color="auto" w:fill="auto"/>
          </w:tcPr>
          <w:p w:rsidR="005417CB" w:rsidRPr="00AD59F4" w:rsidRDefault="005417CB" w:rsidP="003E4187">
            <w:pPr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AD59F4">
              <w:rPr>
                <w:rFonts w:eastAsia="Calibri"/>
                <w:sz w:val="22"/>
                <w:szCs w:val="22"/>
              </w:rPr>
              <w:t>Низкая</w:t>
            </w:r>
          </w:p>
        </w:tc>
      </w:tr>
    </w:tbl>
    <w:p w:rsidR="00B372D3" w:rsidRDefault="00B372D3" w:rsidP="005417CB">
      <w:bookmarkStart w:id="0" w:name="_GoBack"/>
      <w:bookmarkEnd w:id="0"/>
    </w:p>
    <w:sectPr w:rsidR="00B37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CB"/>
    <w:rsid w:val="005417CB"/>
    <w:rsid w:val="00B3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2025-02-12T12:00:00Z</dcterms:created>
  <dcterms:modified xsi:type="dcterms:W3CDTF">2025-02-12T12:00:00Z</dcterms:modified>
</cp:coreProperties>
</file>