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2F" w:rsidRPr="00AD59F4" w:rsidRDefault="00DA492F" w:rsidP="00DA492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9F4">
        <w:rPr>
          <w:rFonts w:eastAsia="Calibri"/>
          <w:b/>
          <w:sz w:val="28"/>
          <w:szCs w:val="28"/>
          <w:lang w:eastAsia="en-US"/>
        </w:rPr>
        <w:t xml:space="preserve">Карта рисков </w:t>
      </w:r>
    </w:p>
    <w:p w:rsidR="00DA492F" w:rsidRPr="00AD59F4" w:rsidRDefault="00DA492F" w:rsidP="00DA492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9F4">
        <w:rPr>
          <w:rFonts w:eastAsia="Calibri"/>
          <w:b/>
          <w:sz w:val="28"/>
          <w:szCs w:val="28"/>
          <w:lang w:eastAsia="en-US"/>
        </w:rPr>
        <w:t>нарушения антимонопольного законодательства в ФКПОУ «ОГЭКИ» Минтруда России в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AD59F4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DA492F" w:rsidRPr="00AD59F4" w:rsidRDefault="00DA492F" w:rsidP="00DA492F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16"/>
        <w:gridCol w:w="2109"/>
        <w:gridCol w:w="1257"/>
        <w:gridCol w:w="1582"/>
        <w:gridCol w:w="1740"/>
      </w:tblGrid>
      <w:tr w:rsidR="00DA492F" w:rsidRPr="00F10E01" w:rsidTr="0093596E">
        <w:tc>
          <w:tcPr>
            <w:tcW w:w="570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N </w:t>
            </w:r>
            <w:proofErr w:type="gramStart"/>
            <w:r w:rsidRPr="00AD59F4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AD59F4">
              <w:rPr>
                <w:rFonts w:eastAsia="Calibri"/>
                <w:b/>
                <w:sz w:val="22"/>
                <w:szCs w:val="22"/>
              </w:rPr>
              <w:t xml:space="preserve">/п </w:t>
            </w:r>
          </w:p>
        </w:tc>
        <w:tc>
          <w:tcPr>
            <w:tcW w:w="2216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Вид </w:t>
            </w:r>
            <w:proofErr w:type="spellStart"/>
            <w:r w:rsidRPr="00AD59F4">
              <w:rPr>
                <w:rFonts w:eastAsia="Calibri"/>
                <w:b/>
                <w:sz w:val="22"/>
                <w:szCs w:val="22"/>
              </w:rPr>
              <w:t>комплаенс</w:t>
            </w:r>
            <w:proofErr w:type="spellEnd"/>
            <w:r w:rsidRPr="00AD59F4">
              <w:rPr>
                <w:rFonts w:eastAsia="Calibri"/>
                <w:b/>
                <w:sz w:val="22"/>
                <w:szCs w:val="22"/>
              </w:rPr>
              <w:t xml:space="preserve">-риска </w:t>
            </w:r>
          </w:p>
        </w:tc>
        <w:tc>
          <w:tcPr>
            <w:tcW w:w="2109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Причины и условия возникновения </w:t>
            </w:r>
          </w:p>
        </w:tc>
        <w:tc>
          <w:tcPr>
            <w:tcW w:w="1257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Уровень риска </w:t>
            </w:r>
          </w:p>
        </w:tc>
        <w:tc>
          <w:tcPr>
            <w:tcW w:w="1582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Наличие (отсутствие) остаточных рисков </w:t>
            </w:r>
          </w:p>
        </w:tc>
        <w:tc>
          <w:tcPr>
            <w:tcW w:w="1740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9F4">
              <w:rPr>
                <w:rFonts w:eastAsia="Calibri"/>
                <w:b/>
                <w:sz w:val="22"/>
                <w:szCs w:val="22"/>
              </w:rPr>
              <w:t xml:space="preserve">Вероятность повторного возникновения рисков </w:t>
            </w:r>
          </w:p>
        </w:tc>
      </w:tr>
      <w:tr w:rsidR="00DA492F" w:rsidRPr="00F10E01" w:rsidTr="0093596E">
        <w:tc>
          <w:tcPr>
            <w:tcW w:w="570" w:type="dxa"/>
            <w:shd w:val="clear" w:color="auto" w:fill="auto"/>
          </w:tcPr>
          <w:p w:rsidR="00DA492F" w:rsidRPr="00F10E01" w:rsidRDefault="00DA492F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6" w:type="dxa"/>
            <w:shd w:val="clear" w:color="auto" w:fill="auto"/>
          </w:tcPr>
          <w:p w:rsidR="00DA492F" w:rsidRPr="00F10E01" w:rsidRDefault="00DA492F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Риск нарушения антимонопольного законодательства при проведении закупок</w:t>
            </w:r>
          </w:p>
        </w:tc>
        <w:tc>
          <w:tcPr>
            <w:tcW w:w="2109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государственного контракта</w:t>
            </w:r>
          </w:p>
        </w:tc>
        <w:tc>
          <w:tcPr>
            <w:tcW w:w="1257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Низкий</w:t>
            </w:r>
          </w:p>
        </w:tc>
        <w:tc>
          <w:tcPr>
            <w:tcW w:w="1582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1740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Низкая</w:t>
            </w:r>
          </w:p>
        </w:tc>
      </w:tr>
      <w:tr w:rsidR="00DA492F" w:rsidRPr="00F10E01" w:rsidTr="0093596E">
        <w:tc>
          <w:tcPr>
            <w:tcW w:w="570" w:type="dxa"/>
            <w:shd w:val="clear" w:color="auto" w:fill="auto"/>
          </w:tcPr>
          <w:p w:rsidR="00DA492F" w:rsidRPr="00F10E01" w:rsidRDefault="00DA492F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16" w:type="dxa"/>
            <w:shd w:val="clear" w:color="auto" w:fill="auto"/>
          </w:tcPr>
          <w:p w:rsidR="00DA492F" w:rsidRPr="00F10E01" w:rsidRDefault="00DA492F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Риск нарушения антимонопольного законодательства при разработке и принятии нормативных правовых актов</w:t>
            </w:r>
          </w:p>
        </w:tc>
        <w:tc>
          <w:tcPr>
            <w:tcW w:w="2109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257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Низкий</w:t>
            </w:r>
          </w:p>
        </w:tc>
        <w:tc>
          <w:tcPr>
            <w:tcW w:w="1582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1740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Низкая</w:t>
            </w:r>
          </w:p>
        </w:tc>
      </w:tr>
      <w:tr w:rsidR="00DA492F" w:rsidRPr="00F10E01" w:rsidTr="0093596E">
        <w:tc>
          <w:tcPr>
            <w:tcW w:w="570" w:type="dxa"/>
            <w:shd w:val="clear" w:color="auto" w:fill="auto"/>
          </w:tcPr>
          <w:p w:rsidR="00DA492F" w:rsidRPr="00F10E01" w:rsidRDefault="00DA492F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16" w:type="dxa"/>
            <w:shd w:val="clear" w:color="auto" w:fill="auto"/>
          </w:tcPr>
          <w:p w:rsidR="00DA492F" w:rsidRPr="00F10E01" w:rsidRDefault="00DA492F" w:rsidP="009359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E01">
              <w:rPr>
                <w:rFonts w:eastAsia="Calibri"/>
                <w:sz w:val="22"/>
                <w:szCs w:val="22"/>
                <w:lang w:eastAsia="en-US"/>
              </w:rPr>
              <w:t>Риск нарушения антимонопольного законодательства при рассмотрении обращений граждан и организаций</w:t>
            </w:r>
          </w:p>
        </w:tc>
        <w:tc>
          <w:tcPr>
            <w:tcW w:w="2109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Нарушение сроков ответов на обращение физических и юридических лиц; не предоставление ответов на обращения физических и юридических лиц</w:t>
            </w:r>
          </w:p>
        </w:tc>
        <w:tc>
          <w:tcPr>
            <w:tcW w:w="1257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Низкий</w:t>
            </w:r>
          </w:p>
        </w:tc>
        <w:tc>
          <w:tcPr>
            <w:tcW w:w="1582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1740" w:type="dxa"/>
            <w:shd w:val="clear" w:color="auto" w:fill="auto"/>
          </w:tcPr>
          <w:p w:rsidR="00DA492F" w:rsidRPr="00AD59F4" w:rsidRDefault="00DA492F" w:rsidP="0093596E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AD59F4">
              <w:rPr>
                <w:rFonts w:eastAsia="Calibri"/>
                <w:sz w:val="22"/>
                <w:szCs w:val="22"/>
              </w:rPr>
              <w:t>Низкая</w:t>
            </w:r>
          </w:p>
        </w:tc>
      </w:tr>
    </w:tbl>
    <w:p w:rsidR="00DA492F" w:rsidRPr="00AD59F4" w:rsidRDefault="00DA492F" w:rsidP="00DA492F">
      <w:pPr>
        <w:jc w:val="center"/>
        <w:rPr>
          <w:rFonts w:eastAsia="Calibri"/>
          <w:sz w:val="22"/>
          <w:szCs w:val="22"/>
          <w:lang w:eastAsia="en-US"/>
        </w:rPr>
      </w:pPr>
    </w:p>
    <w:p w:rsidR="00DA492F" w:rsidRDefault="00DA492F" w:rsidP="00DA492F">
      <w:pPr>
        <w:jc w:val="right"/>
        <w:rPr>
          <w:sz w:val="28"/>
          <w:szCs w:val="28"/>
        </w:rPr>
      </w:pPr>
    </w:p>
    <w:p w:rsidR="00EE1F04" w:rsidRDefault="00EE1F04">
      <w:bookmarkStart w:id="0" w:name="_GoBack"/>
      <w:bookmarkEnd w:id="0"/>
    </w:p>
    <w:sectPr w:rsidR="00EE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F"/>
    <w:rsid w:val="00DA492F"/>
    <w:rsid w:val="00E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2025-12-26T06:52:00Z</dcterms:created>
  <dcterms:modified xsi:type="dcterms:W3CDTF">2025-12-26T06:52:00Z</dcterms:modified>
</cp:coreProperties>
</file>